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0" w:rsidRDefault="00600A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0A60" w:rsidRDefault="00600A60">
      <w:pPr>
        <w:pStyle w:val="ConsPlusNormal"/>
        <w:jc w:val="both"/>
        <w:outlineLvl w:val="0"/>
      </w:pPr>
    </w:p>
    <w:p w:rsidR="00600A60" w:rsidRDefault="00600A6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00A60" w:rsidRDefault="00600A60">
      <w:pPr>
        <w:pStyle w:val="ConsPlusTitle"/>
        <w:jc w:val="center"/>
      </w:pPr>
    </w:p>
    <w:p w:rsidR="00600A60" w:rsidRDefault="00600A60">
      <w:pPr>
        <w:pStyle w:val="ConsPlusTitle"/>
        <w:jc w:val="center"/>
      </w:pPr>
      <w:r>
        <w:t>ДЕПАРТАМЕНТ ВЕТЕРИНАРИИ</w:t>
      </w:r>
    </w:p>
    <w:p w:rsidR="00600A60" w:rsidRDefault="00600A60">
      <w:pPr>
        <w:pStyle w:val="ConsPlusTitle"/>
        <w:jc w:val="center"/>
      </w:pPr>
    </w:p>
    <w:p w:rsidR="00600A60" w:rsidRDefault="00600A60">
      <w:pPr>
        <w:pStyle w:val="ConsPlusTitle"/>
        <w:jc w:val="center"/>
      </w:pPr>
      <w:r>
        <w:t>ПИСЬМО</w:t>
      </w:r>
    </w:p>
    <w:p w:rsidR="00600A60" w:rsidRDefault="00600A60">
      <w:pPr>
        <w:pStyle w:val="ConsPlusTitle"/>
        <w:jc w:val="center"/>
      </w:pPr>
      <w:r>
        <w:t>от 2 ноября 2023 г. N 25/2612</w:t>
      </w:r>
    </w:p>
    <w:p w:rsidR="00600A60" w:rsidRDefault="00600A60">
      <w:pPr>
        <w:pStyle w:val="ConsPlusNormal"/>
        <w:jc w:val="center"/>
      </w:pPr>
    </w:p>
    <w:p w:rsidR="00600A60" w:rsidRDefault="00600A60">
      <w:pPr>
        <w:pStyle w:val="ConsPlusNormal"/>
        <w:ind w:firstLine="540"/>
        <w:jc w:val="both"/>
      </w:pPr>
      <w:r>
        <w:t>Департамент ветеринарии Минсельхоза России в соответствии с письмом Россельхознадзора от 17 октября 2023 г. N ФС-КС-2/25186 рассмотрел письмо и сообщает следующее.</w:t>
      </w:r>
    </w:p>
    <w:p w:rsidR="00600A60" w:rsidRDefault="00600A60">
      <w:pPr>
        <w:pStyle w:val="ConsPlusNormal"/>
        <w:ind w:firstLine="540"/>
        <w:jc w:val="both"/>
      </w:pPr>
    </w:p>
    <w:p w:rsidR="00600A60" w:rsidRDefault="00600A60">
      <w:pPr>
        <w:pStyle w:val="ConsPlusTitle"/>
        <w:ind w:firstLine="540"/>
        <w:jc w:val="both"/>
        <w:outlineLvl w:val="0"/>
      </w:pPr>
      <w:r>
        <w:t xml:space="preserve">По вопросу определения маркирования животных в соответствии с </w:t>
      </w:r>
      <w:hyperlink r:id="rId5">
        <w:r>
          <w:rPr>
            <w:color w:val="0000FF"/>
          </w:rPr>
          <w:t>пунктом 2 статьи 2</w:t>
        </w:r>
      </w:hyperlink>
      <w:r>
        <w:t xml:space="preserve"> Федерального закона Российской Федерации от 28 июня 2022 г. N 221-ФЗ "О внесении изменений в Закон Российской Федерации "О ветеринарии" (далее - Федеральный закон N 221-ФЗ)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19.1</w:t>
        </w:r>
      </w:hyperlink>
      <w:r>
        <w:t xml:space="preserve"> Закона Российской Федерации от 14 мая 1993 г. N 4979-1 "О ветеринарии" (далее - Закон о ветеринарии) 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случаях осуществления группового маркирования животных нанесение визуальных средств маркирования на сооружение, предмет, приспособление или помещение, в которых содержится группа животных.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7">
        <w:r>
          <w:rPr>
            <w:color w:val="0000FF"/>
          </w:rPr>
          <w:t>пунктом 1 статьи 19.1</w:t>
        </w:r>
      </w:hyperlink>
      <w:r>
        <w:t xml:space="preserve"> Закона о ветеринарии определено, что маркирование и учет животных осуществляются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Концепцией</w:t>
        </w:r>
      </w:hyperlink>
      <w:r>
        <w:t xml:space="preserve"> создания и функционирования в Российской Федерации системы маркировки товаров средствами идентификации и прослеживаемости движения товаров, утвержденной распоряжением Правительства Российской Федерации от 28 декабря 2018 г. N 2963-р, маркировка - комплекс мероприятий по идентификации единицы товара либо совокупности единиц товара с помощью нанесения средства идентификации или контрольного (идентификационного) знака, содержащего средство идентификации, в целях обеспечения прослеживаемости товаров при их движении по товаропроводящей сети.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>Так, маркирование животного по своей сути является методом идентификации животного путем нанесения на его тело, закрепления на теле животного или введения в тело животного какого-либо предмета, содержащего информацию о животном.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Таким образом, животные, обладающие каким-либо средством идентификации, нанесенным или закрепленным на их теле, а также введенным в тело, являются маркированными в соответствии с </w:t>
      </w:r>
      <w:hyperlink r:id="rId9">
        <w:r>
          <w:rPr>
            <w:color w:val="0000FF"/>
          </w:rPr>
          <w:t>пунктом 2 статьи 2</w:t>
        </w:r>
      </w:hyperlink>
      <w:r>
        <w:t xml:space="preserve"> Федерального закона N 221-ФЗ, и повторному маркированию в соответствии с требованиями проекта приказа Минсельхоза России "Об утверждении Ветеринарных </w:t>
      </w:r>
      <w:hyperlink r:id="rId10">
        <w:r>
          <w:rPr>
            <w:color w:val="0000FF"/>
          </w:rPr>
          <w:t>правил</w:t>
        </w:r>
      </w:hyperlink>
      <w:r>
        <w:t xml:space="preserve"> маркирования и учета животных" (далее - Правила) не подлежат. Так, например, животное могло быть ранее (до 1 марта 2024 г.) маркировано в рамках зоотехнического учета или в рамках осуществления племенного дела. Такое животное повторному маркированию не подлежит.</w:t>
      </w:r>
    </w:p>
    <w:p w:rsidR="00600A60" w:rsidRDefault="00600A60">
      <w:pPr>
        <w:pStyle w:val="ConsPlusNormal"/>
        <w:ind w:firstLine="540"/>
        <w:jc w:val="both"/>
      </w:pPr>
    </w:p>
    <w:p w:rsidR="00600A60" w:rsidRDefault="00600A60">
      <w:pPr>
        <w:pStyle w:val="ConsPlusTitle"/>
        <w:ind w:firstLine="540"/>
        <w:jc w:val="both"/>
        <w:outlineLvl w:val="0"/>
      </w:pPr>
      <w:r>
        <w:t>По вопросу возможности маркирования животных бирками с инвентарными номерами зоотехнического учета и бирками с номерами для племенных животных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на средство маркирования должен быть нанесен или записан уникальный номер средства маркирования (далее - УНСМ), который формируется автоматически </w:t>
      </w:r>
      <w:r>
        <w:lastRenderedPageBreak/>
        <w:t>Федеральной государственной информационной системой в области ветеринарии (далее - ФГИС).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Учитывая данное требование, после вступления в силу </w:t>
      </w:r>
      <w:hyperlink r:id="rId12">
        <w:r>
          <w:rPr>
            <w:color w:val="0000FF"/>
          </w:rPr>
          <w:t>Правил</w:t>
        </w:r>
      </w:hyperlink>
      <w:r>
        <w:t xml:space="preserve"> (1 марта 2024 г.) для первично маркируемых животных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животных с точки зрения новых положений </w:t>
      </w:r>
      <w:hyperlink r:id="rId13">
        <w:r>
          <w:rPr>
            <w:color w:val="0000FF"/>
          </w:rPr>
          <w:t>Закона</w:t>
        </w:r>
      </w:hyperlink>
      <w:r>
        <w:t xml:space="preserve"> о ветеринарии.</w:t>
      </w:r>
    </w:p>
    <w:p w:rsidR="00600A60" w:rsidRDefault="00600A60">
      <w:pPr>
        <w:pStyle w:val="ConsPlusNormal"/>
        <w:ind w:firstLine="540"/>
        <w:jc w:val="both"/>
      </w:pPr>
    </w:p>
    <w:p w:rsidR="00600A60" w:rsidRDefault="00600A60">
      <w:pPr>
        <w:pStyle w:val="ConsPlusTitle"/>
        <w:ind w:firstLine="540"/>
        <w:jc w:val="both"/>
        <w:outlineLvl w:val="0"/>
      </w:pPr>
      <w:r>
        <w:t>По вопросу процесса маркирования животного, в отношении которого проведено биркование в рамках зоотехнического учета и (или) проведения племенной работы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на одной бирке допускается размещение как УНСМ, так и иной информации, в том числе инвентарных номеров зоотехнического учета или номеров для племенных животных.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>Таким образом, возможно проведение маркирования путем размещения УНСМ на бирки, на которых содержатся сведения об инвентарных номерах зоотехнического учета и(или) номера племенных животных.</w:t>
      </w:r>
    </w:p>
    <w:p w:rsidR="00600A60" w:rsidRDefault="00600A60">
      <w:pPr>
        <w:pStyle w:val="ConsPlusNormal"/>
        <w:ind w:firstLine="540"/>
        <w:jc w:val="both"/>
      </w:pPr>
    </w:p>
    <w:p w:rsidR="00600A60" w:rsidRDefault="00600A60">
      <w:pPr>
        <w:pStyle w:val="ConsPlusTitle"/>
        <w:ind w:firstLine="540"/>
        <w:jc w:val="both"/>
        <w:outlineLvl w:val="0"/>
      </w:pPr>
      <w:r>
        <w:t xml:space="preserve">По вопросу определения сроков осуществления учета животных в </w:t>
      </w:r>
      <w:hyperlink r:id="rId15">
        <w:r>
          <w:rPr>
            <w:color w:val="0000FF"/>
          </w:rPr>
          <w:t>Перечне</w:t>
        </w:r>
      </w:hyperlink>
      <w:r>
        <w:t xml:space="preserve">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утвержденных постановлением Правительства Российской Федерации от 5 апреля 2023 г. N 550 (далее - Перечень)</w:t>
      </w:r>
    </w:p>
    <w:p w:rsidR="00600A60" w:rsidRDefault="00600A6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Перечнем</w:t>
        </w:r>
      </w:hyperlink>
      <w:r>
        <w:t xml:space="preserve"> видов животных, определены сроки осуществления учета животных, а не маркирования.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пунктом 5 статьи 19.1</w:t>
        </w:r>
      </w:hyperlink>
      <w:r>
        <w:t xml:space="preserve"> Закона о ветеринарии учет животных осуществляется путем представления во ФГИС информации о животном.</w:t>
      </w:r>
    </w:p>
    <w:p w:rsidR="00600A60" w:rsidRDefault="00600A60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8">
        <w:r>
          <w:rPr>
            <w:color w:val="0000FF"/>
          </w:rPr>
          <w:t>Перечнем</w:t>
        </w:r>
      </w:hyperlink>
      <w:r>
        <w:t xml:space="preserve"> установлены предельные сроки учета животных, маркированных в соответствии с </w:t>
      </w:r>
      <w:hyperlink r:id="rId19">
        <w:r>
          <w:rPr>
            <w:color w:val="0000FF"/>
          </w:rPr>
          <w:t>пунктом 2 статьи 2</w:t>
        </w:r>
      </w:hyperlink>
      <w:r>
        <w:t xml:space="preserve"> Федерального закона N 221-ФЗ.</w:t>
      </w:r>
    </w:p>
    <w:p w:rsidR="00600A60" w:rsidRDefault="00600A60">
      <w:pPr>
        <w:pStyle w:val="ConsPlusNormal"/>
        <w:ind w:firstLine="540"/>
        <w:jc w:val="both"/>
      </w:pPr>
    </w:p>
    <w:p w:rsidR="00600A60" w:rsidRDefault="00600A60">
      <w:pPr>
        <w:pStyle w:val="ConsPlusNormal"/>
        <w:jc w:val="right"/>
      </w:pPr>
      <w:r>
        <w:t>Заместитель директора</w:t>
      </w:r>
    </w:p>
    <w:p w:rsidR="00600A60" w:rsidRDefault="00600A60">
      <w:pPr>
        <w:pStyle w:val="ConsPlusNormal"/>
        <w:jc w:val="right"/>
      </w:pPr>
      <w:r>
        <w:t>О.В.НИКОЛАИЧЕВА</w:t>
      </w:r>
    </w:p>
    <w:p w:rsidR="00600A60" w:rsidRDefault="00600A60">
      <w:pPr>
        <w:pStyle w:val="ConsPlusNormal"/>
        <w:jc w:val="both"/>
      </w:pPr>
    </w:p>
    <w:p w:rsidR="00600A60" w:rsidRDefault="00600A60">
      <w:pPr>
        <w:pStyle w:val="ConsPlusNormal"/>
        <w:jc w:val="both"/>
      </w:pPr>
    </w:p>
    <w:p w:rsidR="00600A60" w:rsidRDefault="00600A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9B6" w:rsidRDefault="008069B6">
      <w:bookmarkStart w:id="0" w:name="_GoBack"/>
      <w:bookmarkEnd w:id="0"/>
    </w:p>
    <w:sectPr w:rsidR="008069B6" w:rsidSect="003A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60"/>
    <w:rsid w:val="00600A60"/>
    <w:rsid w:val="008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0581-DDB8-4AE5-9535-CF9AC5B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A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A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A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921&amp;dst=100007" TargetMode="External"/><Relationship Id="rId13" Type="http://schemas.openxmlformats.org/officeDocument/2006/relationships/hyperlink" Target="https://login.consultant.ru/link/?req=doc&amp;base=LAW&amp;n=471022" TargetMode="External"/><Relationship Id="rId18" Type="http://schemas.openxmlformats.org/officeDocument/2006/relationships/hyperlink" Target="https://login.consultant.ru/link/?req=doc&amp;base=LAW&amp;n=444220&amp;dst=10005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1022&amp;dst=443" TargetMode="External"/><Relationship Id="rId12" Type="http://schemas.openxmlformats.org/officeDocument/2006/relationships/hyperlink" Target="https://login.consultant.ru/link/?req=doc&amp;base=LAW&amp;n=463223&amp;dst=100010" TargetMode="External"/><Relationship Id="rId17" Type="http://schemas.openxmlformats.org/officeDocument/2006/relationships/hyperlink" Target="https://login.consultant.ru/link/?req=doc&amp;base=LAW&amp;n=471022&amp;dst=4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4220&amp;dst=1000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2&amp;dst=446" TargetMode="External"/><Relationship Id="rId11" Type="http://schemas.openxmlformats.org/officeDocument/2006/relationships/hyperlink" Target="https://login.consultant.ru/link/?req=doc&amp;base=LAW&amp;n=463223&amp;dst=100010" TargetMode="External"/><Relationship Id="rId5" Type="http://schemas.openxmlformats.org/officeDocument/2006/relationships/hyperlink" Target="https://login.consultant.ru/link/?req=doc&amp;base=LAW&amp;n=420374&amp;dst=100069" TargetMode="External"/><Relationship Id="rId15" Type="http://schemas.openxmlformats.org/officeDocument/2006/relationships/hyperlink" Target="https://login.consultant.ru/link/?req=doc&amp;base=LAW&amp;n=444220&amp;dst=100056" TargetMode="External"/><Relationship Id="rId10" Type="http://schemas.openxmlformats.org/officeDocument/2006/relationships/hyperlink" Target="https://login.consultant.ru/link/?req=doc&amp;base=LAW&amp;n=463223&amp;dst=100010" TargetMode="External"/><Relationship Id="rId19" Type="http://schemas.openxmlformats.org/officeDocument/2006/relationships/hyperlink" Target="https://login.consultant.ru/link/?req=doc&amp;base=LAW&amp;n=420374&amp;dst=1000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0374&amp;dst=100069" TargetMode="External"/><Relationship Id="rId14" Type="http://schemas.openxmlformats.org/officeDocument/2006/relationships/hyperlink" Target="https://login.consultant.ru/link/?req=doc&amp;base=LAW&amp;n=46322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Поливода Анастасия Александровна</dc:creator>
  <cp:keywords/>
  <dc:description/>
  <cp:lastModifiedBy>Поливода Анастасия Александровна</cp:lastModifiedBy>
  <cp:revision>1</cp:revision>
  <dcterms:created xsi:type="dcterms:W3CDTF">2025-01-29T07:49:00Z</dcterms:created>
  <dcterms:modified xsi:type="dcterms:W3CDTF">2025-01-29T07:50:00Z</dcterms:modified>
</cp:coreProperties>
</file>